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342B1" w:rsidRDefault="00000000">
      <w:pPr>
        <w:pStyle w:val="Heading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BEFORE THE PENNSYLVANIA GAME COMMISSION</w:t>
      </w:r>
    </w:p>
    <w:p w14:paraId="00000002"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PETITION FOR RULEMAKING TO PROHIBIT THE USE OF LIVE PIGEONS IN SHOOTING CONTESTS</w:t>
      </w:r>
    </w:p>
    <w:p w14:paraId="00000003" w14:textId="77777777" w:rsidR="000342B1" w:rsidRDefault="00000000">
      <w:pPr>
        <w:pStyle w:val="Heading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INTRODUCTION</w:t>
      </w:r>
    </w:p>
    <w:p w14:paraId="00000004"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Pursuant to the Pennsylvania Game and Wildlife Code and the Pennsylvania Game Commission’s authority to regulate the taking of wildlife and protect wildlife resources, Petitioners respectfully request that the Commission initiate rulemaking to prohibit the use of live pigeons in organized shooting contests (“pigeon shoots”) throughout the Commonwealth.</w:t>
      </w:r>
    </w:p>
    <w:p w14:paraId="00000005"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Pigeon shoots are an obsolete practice that serves no legitimate wildlife management, conservation, hunting, or recreational purpose that cannot be achieved through humane alternatives. Unlike traditional hunting, participants shoot captive-raised or otherwise procured pigeons released from traps at close range solely for target practice or competition. Many birds are not killed outright, but instead suffer catastrophic injuries, fall wounded, and are subsequently dispatched by hand or left to die from their injuries.</w:t>
      </w:r>
    </w:p>
    <w:p w14:paraId="00000006"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The continuation of this practice undermines Pennsylvania’s longstanding commitment to responsible wildlife stewardship, creates unnecessary animal suffering, threatens public health and safety, and contributes to environmental contamination through the deposition of lead shot. Modern clay targets provide an effective, widely accepted, humane, and commercially successful alternative that has rendered live-animal shooting contests unnecessary.</w:t>
      </w:r>
    </w:p>
    <w:p w14:paraId="00000007"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The Commission should exercise its regulatory authority to prohibit the use of live birds in organized shooting contests.</w:t>
      </w:r>
    </w:p>
    <w:p w14:paraId="00000008"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 AUTHORITY OF THE COMMISSION</w:t>
      </w:r>
    </w:p>
    <w:p w14:paraId="00000009"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 xml:space="preserve">Under the Game and Wildlife Code (Title 34), the </w:t>
      </w:r>
      <w:hyperlink r:id="rId6">
        <w:r>
          <w:rPr>
            <w:rFonts w:ascii="Times New Roman" w:eastAsia="Times New Roman" w:hAnsi="Times New Roman" w:cs="Times New Roman"/>
            <w:color w:val="000000"/>
          </w:rPr>
          <w:t>Pennsylvania Game Commission</w:t>
        </w:r>
      </w:hyperlink>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holds comprehensive statutory authority to oversee and regulate the taking, possession, and systematic management of all wildlife populations within the Commonwealth. This legislative mandate empowers the Commission to determine lawful methods of take, establish hunting seasons, and enact administrative rules crucial for protecting vulnerable species and sustaining ecological balance. </w:t>
      </w:r>
    </w:p>
    <w:p w14:paraId="0000000A"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The Game Commission is tasked with the responsibility of regulating rock doves (feral pigeons) along with other "wild birds" as defined by Pennsylvania law. The statutes governing the Game Commission define a "wild bird" broadly, in a manner that includes birds that are technically longtime domesticated species, whether captive or feral, or domesticated or wild. Section 102 of Title 34 of the Pennsylvania Consolidated Statutes defines "wild birds" as "[a]</w:t>
      </w:r>
      <w:proofErr w:type="spellStart"/>
      <w:r>
        <w:rPr>
          <w:rFonts w:ascii="Times New Roman" w:eastAsia="Times New Roman" w:hAnsi="Times New Roman" w:cs="Times New Roman"/>
        </w:rPr>
        <w:t>ll</w:t>
      </w:r>
      <w:proofErr w:type="spellEnd"/>
      <w:r>
        <w:rPr>
          <w:rFonts w:ascii="Times New Roman" w:eastAsia="Times New Roman" w:hAnsi="Times New Roman" w:cs="Times New Roman"/>
        </w:rPr>
        <w:t xml:space="preserve"> migratory birds as defined in 50 CFR by the United States Fish and Wildlife Service of the Department of the Interior, game birds</w:t>
      </w:r>
      <w:r>
        <w:rPr>
          <w:rFonts w:ascii="Times New Roman" w:eastAsia="Times New Roman" w:hAnsi="Times New Roman" w:cs="Times New Roman"/>
          <w:i/>
          <w:iCs/>
        </w:rPr>
        <w:t> </w:t>
      </w:r>
      <w:r>
        <w:rPr>
          <w:rFonts w:ascii="Times New Roman" w:eastAsia="Times New Roman" w:hAnsi="Times New Roman" w:cs="Times New Roman"/>
        </w:rPr>
        <w:t xml:space="preserve">and any other birds designated by the commission, including, but not limited to, grouse, partridge, pheasant, quail and wild turkey." 34 </w:t>
      </w:r>
      <w:proofErr w:type="spellStart"/>
      <w:r>
        <w:rPr>
          <w:rFonts w:ascii="Times New Roman" w:eastAsia="Times New Roman" w:hAnsi="Times New Roman" w:cs="Times New Roman"/>
        </w:rPr>
        <w:t>Pa.C.S</w:t>
      </w:r>
      <w:proofErr w:type="spellEnd"/>
      <w:r>
        <w:rPr>
          <w:rFonts w:ascii="Times New Roman" w:eastAsia="Times New Roman" w:hAnsi="Times New Roman" w:cs="Times New Roman"/>
        </w:rPr>
        <w:t xml:space="preserve">. § 102 (emphasis added). Notably, the statutory definition of the term of art "wild bird" does not require the bird to be a traditional wild animal, but encompasses game animals like pheasants, pigeons, and doves, even though they are technically feral descendants of domesticated birds. </w:t>
      </w:r>
    </w:p>
    <w:p w14:paraId="0000000B"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The United States Fish and Wildlife Service in 50 CFR defines “migratory game birds” to include those birds in the Columbidae family (doves and pigeons). 50 C.F.R. § 20.11(a)(2).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under Pennsylvania’s own law, which incorporates the federal definition by reference, rock doves would be considered a migratory bird and a wild bird. Further, Pennsylvania law defines “game” to include game birds, such as mourning doves, and “facsimiles” of any game bird, which would include rock doves. </w:t>
      </w:r>
      <w:r>
        <w:rPr>
          <w:rFonts w:ascii="Times New Roman" w:eastAsia="Times New Roman" w:hAnsi="Times New Roman" w:cs="Times New Roman"/>
          <w:i/>
          <w:iCs/>
        </w:rPr>
        <w:t>See</w:t>
      </w:r>
      <w:r>
        <w:rPr>
          <w:rFonts w:ascii="Times New Roman" w:eastAsia="Times New Roman" w:hAnsi="Times New Roman" w:cs="Times New Roman"/>
        </w:rPr>
        <w:t xml:space="preserve"> 34 </w:t>
      </w:r>
      <w:proofErr w:type="spellStart"/>
      <w:r>
        <w:rPr>
          <w:rFonts w:ascii="Times New Roman" w:eastAsia="Times New Roman" w:hAnsi="Times New Roman" w:cs="Times New Roman"/>
        </w:rPr>
        <w:t>Pa.C.S</w:t>
      </w:r>
      <w:proofErr w:type="spellEnd"/>
      <w:r>
        <w:rPr>
          <w:rFonts w:ascii="Times New Roman" w:eastAsia="Times New Roman" w:hAnsi="Times New Roman" w:cs="Times New Roman"/>
        </w:rPr>
        <w:t xml:space="preserve">. § 102. “Game birds” are enumerated through a non-exhaustive list. </w:t>
      </w:r>
      <w:r>
        <w:rPr>
          <w:rFonts w:ascii="Times New Roman" w:eastAsia="Times New Roman" w:hAnsi="Times New Roman" w:cs="Times New Roman"/>
          <w:i/>
          <w:iCs/>
        </w:rPr>
        <w:t>See id</w:t>
      </w:r>
      <w:r>
        <w:rPr>
          <w:rFonts w:ascii="Times New Roman" w:eastAsia="Times New Roman" w:hAnsi="Times New Roman" w:cs="Times New Roman"/>
        </w:rPr>
        <w:t xml:space="preserve">. Indeed, the Pennsylvania Game Commission’s website lists “Doves” as a game bird. </w:t>
      </w:r>
      <w:r>
        <w:rPr>
          <w:rFonts w:ascii="Times New Roman" w:eastAsia="Times New Roman" w:hAnsi="Times New Roman" w:cs="Times New Roman"/>
          <w:i/>
          <w:iCs/>
        </w:rPr>
        <w:t>See</w:t>
      </w:r>
      <w:r>
        <w:rPr>
          <w:rFonts w:ascii="Times New Roman" w:eastAsia="Times New Roman" w:hAnsi="Times New Roman" w:cs="Times New Roman"/>
        </w:rPr>
        <w:t xml:space="preserve"> </w:t>
      </w:r>
      <w:hyperlink r:id="rId7">
        <w:r>
          <w:rPr>
            <w:rFonts w:ascii="Times New Roman" w:eastAsia="Times New Roman" w:hAnsi="Times New Roman" w:cs="Times New Roman"/>
            <w:color w:val="156082"/>
          </w:rPr>
          <w:t>https://www.pa.gov/agencies/pgc/huntingandtrapping/regulations/seasons-and-bag-limits</w:t>
        </w:r>
      </w:hyperlink>
      <w:r>
        <w:rPr>
          <w:rFonts w:ascii="Times New Roman" w:eastAsia="Times New Roman" w:hAnsi="Times New Roman" w:cs="Times New Roman"/>
        </w:rPr>
        <w:t>.</w:t>
      </w:r>
    </w:p>
    <w:p w14:paraId="0000000C"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Despite this clear regulatory responsibility, rock doves (feral pigeons) have so far fallen into a regulatory vacuum and lie unprotected and unmanaged. This has allowed commercial enterprises to exploit the species without the bag limits, seasonal restrictions, or humane enforcement mechanisms that govern native and other enumerated game birds. By utilizing its broad regulatory framework, the Commission is legally tasked with closing this loophole and aligning state practices with principles of sound wildlife management and evolving public conservation standards.</w:t>
      </w:r>
    </w:p>
    <w:p w14:paraId="0000000D"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This formal petition calls upon the Commission to exercise its designated authority by implementing targeted administrative regulations that ban the use of live pigeons or any other live birds as targets in organized shooting competitions. Because these events are structured primarily for commercial entertainment, recreational amusement, or cash-prize payouts, they fall directly under the purview of methods and means of taking wildlife that the Commission has the power to restrict. Proponents of the petition argue that taking this administrative action would bring Pennsylvania’s wildlife rules into alignment with modern ethical standards, successfully eliminating an abusive practice without requiring legislative intervention from the General Assembly.</w:t>
      </w:r>
    </w:p>
    <w:p w14:paraId="0000000E"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 GROUNDS FOR RULEMAKING</w:t>
      </w:r>
    </w:p>
    <w:p w14:paraId="0000000F"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Pigeon Shoots Cause Extreme and Unnecessary Animal Suffering</w:t>
      </w:r>
    </w:p>
    <w:p w14:paraId="00000010"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 xml:space="preserve">Unlike traditional hunting practiced for food, population control, or legitimate wildlife management, organized pigeon shoots involve the deliberate containment, transport, and release of captive birds into a restricted, high-density competitive environment for the sole purpose of target practice. These animals are intentionally placed in a position of extreme vulnerability, stripped of natural avoidance behaviors, and propelled into an active firing line. The primary objective of the activity is not the swift, humane harvest of a resource, but rather the generation of recreational amusement and commercial revenue through the mechanical discharge of firearms at live targets. </w:t>
      </w:r>
    </w:p>
    <w:p w14:paraId="00000011"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 xml:space="preserve">Independent veterinary documentation and eyewitness accounts consistently show that a high percentage of birds struck by gunfire are not killed instantly. Instead, hundreds of wounded pigeons routinely suffer catastrophic injuries—including shattered wings, fractured legs, ruptured internal organs, destroyed eyes, and extensive soft-tissue trauma—before falling to the ground. These crippled birds frequently languish on the shooting fields for extended periods before they are retrieved, often enduring further trauma through improper handling or delayed euthanasia. Furthermore, a significant number of wounded birds escape the immediate perimeter </w:t>
      </w:r>
      <w:r>
        <w:rPr>
          <w:rFonts w:ascii="Times New Roman" w:eastAsia="Times New Roman" w:hAnsi="Times New Roman" w:cs="Times New Roman"/>
        </w:rPr>
        <w:lastRenderedPageBreak/>
        <w:t xml:space="preserve">of the shooting grounds entirely, flying or crawling away to succumb to infection, dehydration, starvation, or predation over the course of several hours or days. </w:t>
      </w:r>
    </w:p>
    <w:p w14:paraId="00000012"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The profound physical and psychological suffering inflicted during these contests is not an incidental or accidental byproduct of a valid ecological or conservation initiative. Rather, this suffering is a predictable, systematic, and inherent feature of the activity itself, built directly into the mechanics of the sport. Because the rules of these competitions rely on a high volume of rapid shots fired at unpredictable targets, the wounding and prolonged distress of live animals is an unavoidable mathematical certainty.</w:t>
      </w:r>
    </w:p>
    <w:p w14:paraId="00000013"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Modern recreational shooting disciplines and competitive marksman organizations have long since evolved past the need to use live animals as targets. Highly advanced, environmentally safe synthetic clay targets provide an equally challenging, dynamic, and authentic means of testing an individual's shooting proficiency and hand-eye coordination. Transitioning to these humane alternatives completely fulfills the recreational and competitive desires of sportsmen without inflicting systemic pain, mutilation, or agonizing deaths upon living, sentient creatures.</w:t>
      </w:r>
    </w:p>
    <w:p w14:paraId="00000014"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 Pigeon Shoots Serve No Wildlife Management Purpose</w:t>
      </w:r>
    </w:p>
    <w:p w14:paraId="00000015"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 xml:space="preserve">The foundational mandate of the </w:t>
      </w:r>
      <w:hyperlink r:id="rId8">
        <w:r>
          <w:rPr>
            <w:rFonts w:ascii="Times New Roman" w:eastAsia="Times New Roman" w:hAnsi="Times New Roman" w:cs="Times New Roman"/>
            <w:color w:val="000000"/>
          </w:rPr>
          <w:t>Pennsylvania Game Commission</w:t>
        </w:r>
      </w:hyperlink>
      <w:r>
        <w:rPr>
          <w:rFonts w:ascii="Times New Roman" w:eastAsia="Times New Roman" w:hAnsi="Times New Roman" w:cs="Times New Roman"/>
        </w:rPr>
        <w:t xml:space="preserve"> is to manage, protect, and preserve the Commonwealth's wildlife resources for the benefit, education, and enjoyment of present and future generations. Every regulated sporting activity and conservation program overseen by the Commission must align with this core mission, serving as a tool to promote ecological balance or foster responsible stewardship of natural resources. Organized live pigeon shoots fail entirely to meet these criteria, functioning outside the boundaries of recognized conservation science and ethical outdoor recreation.</w:t>
      </w:r>
    </w:p>
    <w:p w14:paraId="00000016"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A critical evaluation of the mechanics of pigeon shoots reveals that these events offer zero utility to any accepted pillar of modern wildlife management. Specifically, pigeon shoots do not contribute to:</w:t>
      </w:r>
    </w:p>
    <w:p w14:paraId="00000017"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Wildlife Conservation:</w:t>
      </w:r>
      <w:r>
        <w:rPr>
          <w:rFonts w:ascii="Times New Roman" w:eastAsia="Times New Roman" w:hAnsi="Times New Roman" w:cs="Times New Roman"/>
          <w:color w:val="000000"/>
        </w:rPr>
        <w:t xml:space="preserve"> They provide no protective or restorative value to native avian populations or broader biological diversity.</w:t>
      </w:r>
    </w:p>
    <w:p w14:paraId="00000018"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Population Management:</w:t>
      </w:r>
      <w:r>
        <w:rPr>
          <w:rFonts w:ascii="Times New Roman" w:eastAsia="Times New Roman" w:hAnsi="Times New Roman" w:cs="Times New Roman"/>
          <w:color w:val="000000"/>
        </w:rPr>
        <w:t xml:space="preserve"> They do not control overabundant wild populations in an ecologically sound or targeted manner, as the birds used are not taken as part of a localized nuisance mitigation program.</w:t>
      </w:r>
    </w:p>
    <w:p w14:paraId="00000019"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Habitat Restoration:</w:t>
      </w:r>
      <w:r>
        <w:rPr>
          <w:rFonts w:ascii="Times New Roman" w:eastAsia="Times New Roman" w:hAnsi="Times New Roman" w:cs="Times New Roman"/>
          <w:color w:val="000000"/>
        </w:rPr>
        <w:t xml:space="preserve"> They generate no revenue or practical field actions directed toward the enhancement, preservation, or reclamation of critical wildlife habitats.</w:t>
      </w:r>
    </w:p>
    <w:p w14:paraId="0000001A"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Food Procurement:</w:t>
      </w:r>
      <w:r>
        <w:rPr>
          <w:rFonts w:ascii="Times New Roman" w:eastAsia="Times New Roman" w:hAnsi="Times New Roman" w:cs="Times New Roman"/>
          <w:color w:val="000000"/>
        </w:rPr>
        <w:t xml:space="preserve"> Unlike legitimate hunting, the primary objective is not the harvesting of wild game for human consumption; the carcasses are routinely discarded as refuse.</w:t>
      </w:r>
    </w:p>
    <w:p w14:paraId="0000001B"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Scientific Research:</w:t>
      </w:r>
      <w:r>
        <w:rPr>
          <w:rFonts w:ascii="Times New Roman" w:eastAsia="Times New Roman" w:hAnsi="Times New Roman" w:cs="Times New Roman"/>
          <w:color w:val="000000"/>
        </w:rPr>
        <w:t xml:space="preserve"> The gathering, confinement, and destruction of these birds yield no biological data, disease surveillance, or academic insight beneficial to ornithological science. </w:t>
      </w:r>
    </w:p>
    <w:p w14:paraId="0000001C" w14:textId="77777777" w:rsidR="000342B1" w:rsidRDefault="00000000">
      <w:pPr>
        <w:numPr>
          <w:ilvl w:val="0"/>
          <w:numId w:val="4"/>
        </w:numPr>
        <w:pBdr>
          <w:top w:val="nil"/>
          <w:left w:val="nil"/>
          <w:bottom w:val="nil"/>
          <w:right w:val="nil"/>
          <w:between w:val="nil"/>
        </w:pBdr>
        <w:spacing w:after="0"/>
      </w:pPr>
      <w:r>
        <w:rPr>
          <w:rFonts w:ascii="Times New Roman" w:eastAsia="Times New Roman" w:hAnsi="Times New Roman" w:cs="Times New Roman"/>
          <w:b/>
          <w:bCs/>
          <w:color w:val="000000"/>
        </w:rPr>
        <w:t>Hunter Education:</w:t>
      </w:r>
      <w:r>
        <w:rPr>
          <w:rFonts w:ascii="Times New Roman" w:eastAsia="Times New Roman" w:hAnsi="Times New Roman" w:cs="Times New Roman"/>
          <w:color w:val="000000"/>
        </w:rPr>
        <w:t xml:space="preserve"> These events do not foster the core tenets of hunter ethics, fair chase, or firearm safety taught in the Commission’s official safety curricula.</w:t>
      </w:r>
    </w:p>
    <w:p w14:paraId="0000001D" w14:textId="77777777" w:rsidR="000342B1" w:rsidRDefault="000342B1">
      <w:pPr>
        <w:pBdr>
          <w:top w:val="nil"/>
          <w:left w:val="nil"/>
          <w:bottom w:val="nil"/>
          <w:right w:val="nil"/>
          <w:between w:val="nil"/>
        </w:pBdr>
        <w:spacing w:after="0"/>
        <w:ind w:left="720"/>
        <w:rPr>
          <w:rFonts w:ascii="Times New Roman" w:eastAsia="Times New Roman" w:hAnsi="Times New Roman" w:cs="Times New Roman"/>
          <w:color w:val="000000"/>
        </w:rPr>
      </w:pPr>
    </w:p>
    <w:p w14:paraId="0000001E"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 xml:space="preserve">Instead of engaging with wildlife in its natural habitat, pigeon shoots rely on a closed commercial system where birds are intentionally captured or custom-bred, transported in </w:t>
      </w:r>
      <w:r>
        <w:rPr>
          <w:rFonts w:ascii="Times New Roman" w:eastAsia="Times New Roman" w:hAnsi="Times New Roman" w:cs="Times New Roman"/>
        </w:rPr>
        <w:lastRenderedPageBreak/>
        <w:t>cramped crates, and utilized strictly as disposable, mechanical targets. This artificial environment bears no practical or philosophical resemblance to the long-standing tradition of fair-chase hunting, which relies on wild animals in their natural state and emphasizes respect for the quarry. Because the practice yields absolutely no ecological, educational, or conservation benefit, its continuation cannot be justified under the Commission's statutory management authority.</w:t>
      </w:r>
    </w:p>
    <w:p w14:paraId="0000001F" w14:textId="77777777" w:rsidR="000342B1" w:rsidRDefault="00000000">
      <w:pPr>
        <w:pStyle w:val="Heading3"/>
        <w:ind w:left="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 Humane Alternatives Have Eliminated Any Legitimate Need for Live-Animal Shooting Contests</w:t>
      </w:r>
    </w:p>
    <w:p w14:paraId="00000020"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Virtually every shooting discipline now utilizes clay targets or other artificial targets.</w:t>
      </w:r>
    </w:p>
    <w:p w14:paraId="00000021"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Olympic shooting events, trap shooting, skeet, sporting clays, and recreational marksmanship all successfully employ non-living targets while preserving the challenge, skill, and competitive nature of shooting sports.</w:t>
      </w:r>
    </w:p>
    <w:p w14:paraId="00000022"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Pennsylvania’s continued allowance of live pigeon shoots represents an outdated exception that no longer serves any legitimate recreational necessity.</w:t>
      </w:r>
    </w:p>
    <w:p w14:paraId="00000023"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 Lead Shot Deposited at Pigeon Shoots Threatens Wildlife and the Environment</w:t>
      </w:r>
    </w:p>
    <w:p w14:paraId="00000024"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Pigeon shoots frequently involve the discharge of thousands of rounds of ammunition over relatively small areas.</w:t>
      </w:r>
    </w:p>
    <w:p w14:paraId="00000025"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Large quantities of spent lead shot accumulate in surrounding fields and soils where they may remain for decades.</w:t>
      </w:r>
    </w:p>
    <w:p w14:paraId="00000026"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Lead deposited at shooting sites may:</w:t>
      </w:r>
    </w:p>
    <w:p w14:paraId="00000027" w14:textId="77777777" w:rsidR="000342B1" w:rsidRDefault="00000000">
      <w:pPr>
        <w:numPr>
          <w:ilvl w:val="0"/>
          <w:numId w:val="2"/>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contaminate soils;</w:t>
      </w:r>
    </w:p>
    <w:p w14:paraId="00000028" w14:textId="77777777" w:rsidR="000342B1" w:rsidRDefault="00000000">
      <w:pPr>
        <w:numPr>
          <w:ilvl w:val="0"/>
          <w:numId w:val="2"/>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migrate into nearby waterways;</w:t>
      </w:r>
    </w:p>
    <w:p w14:paraId="00000029" w14:textId="77777777" w:rsidR="000342B1" w:rsidRDefault="00000000">
      <w:pPr>
        <w:numPr>
          <w:ilvl w:val="0"/>
          <w:numId w:val="2"/>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be ingested by waterfowl, upland birds, and other wildlife;</w:t>
      </w:r>
    </w:p>
    <w:p w14:paraId="0000002A" w14:textId="77777777" w:rsidR="000342B1" w:rsidRDefault="00000000">
      <w:pPr>
        <w:numPr>
          <w:ilvl w:val="0"/>
          <w:numId w:val="2"/>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expose scavengers to lead fragments through wounded or dead birds; and</w:t>
      </w:r>
    </w:p>
    <w:p w14:paraId="0000002B" w14:textId="77777777" w:rsidR="000342B1" w:rsidRDefault="00000000">
      <w:pPr>
        <w:numPr>
          <w:ilvl w:val="0"/>
          <w:numId w:val="2"/>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create long-term environmental contamination requiring costly remediation.</w:t>
      </w:r>
    </w:p>
    <w:p w14:paraId="0000002C"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Scientific research has consistently demonstrated that lead ammunition poses significant risks to numerous wildlife species through direct ingestion and secondary poisoning.</w:t>
      </w:r>
    </w:p>
    <w:p w14:paraId="0000002D"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Because pigeon shoots may concentrate extremely high volumes of lead deposition in localized areas, they present environmental risks beyond those associated with ordinary recreational shooting.</w:t>
      </w:r>
    </w:p>
    <w:p w14:paraId="0000002E"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 Public Health and Safety Concerns Support Prohibiting Pigeon Shoots</w:t>
      </w:r>
    </w:p>
    <w:p w14:paraId="0000002F"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Organized pigeon shoots generate substantial volumes of biological waste, including wounded birds, carcasses, feathers, blood, and other animal remains.</w:t>
      </w:r>
    </w:p>
    <w:p w14:paraId="00000030"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Improper disposal of these materials may attract scavengers and vermin and create sanitation concerns.</w:t>
      </w:r>
    </w:p>
    <w:p w14:paraId="00000031"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The accumulation of lead shot also presents potential exposure risks to children, pets, livestock, and others who may later access affected properties.</w:t>
      </w:r>
    </w:p>
    <w:p w14:paraId="00000032"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Moreover, pigeon shoots often require volunteers or participants to retrieve wounded birds within active shooting fields, creating avoidable safety risks that do not exist with artificial targets.</w:t>
      </w:r>
    </w:p>
    <w:p w14:paraId="00000033"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 The Practice Damages the Reputation of Pennsylvania Hunting</w:t>
      </w:r>
    </w:p>
    <w:p w14:paraId="00000034"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Pennsylvania has long promoted ethical hunting grounded in principles of conservation, fair chase, and respect for wildlife.</w:t>
      </w:r>
    </w:p>
    <w:p w14:paraId="00000035"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Pigeon shoots do not reflect those values.</w:t>
      </w:r>
    </w:p>
    <w:p w14:paraId="00000036"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The continued allowance of organized live-bird shooting contests risks undermining public confidence in lawful hunting by equating ethical hunting traditions with activities that involve the intentional use of living animals as disposable targets.</w:t>
      </w:r>
    </w:p>
    <w:p w14:paraId="00000037"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Prohibiting pigeon shoots would reinforce the distinction between responsible hunting and gratuitous animal cruelty.</w:t>
      </w:r>
    </w:p>
    <w:p w14:paraId="00000038" w14:textId="77777777" w:rsidR="000342B1" w:rsidRDefault="00000000">
      <w:pPr>
        <w:pStyle w:val="Heading3"/>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 Numerous Jurisdictions Have Eliminated Live-Bird Shooting Contests</w:t>
      </w:r>
    </w:p>
    <w:p w14:paraId="00000039"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Across the United States and the international community, the legal landscape surrounding live-bird shooting competitions has undergone a profound transformation. Decades of shifting public sentiment, rigorous animal welfare advocacy, and evolving conservation ethics have led a vast majority of states and nations to pass explicit prohibitions or enforce animal cruelty statutes that effectively eliminate these organized events. Today, the practice is widely condemned as an unnecessary and archaic form of recreation that serves no legitimate ecological, subsistence, or management purpose.</w:t>
      </w:r>
    </w:p>
    <w:p w14:paraId="0000003A" w14:textId="77777777" w:rsidR="000342B1" w:rsidRDefault="00000000">
      <w:pPr>
        <w:rPr>
          <w:rFonts w:ascii="Times New Roman" w:eastAsia="Times New Roman" w:hAnsi="Times New Roman" w:cs="Times New Roman"/>
        </w:rPr>
      </w:pPr>
      <w:r>
        <w:rPr>
          <w:rFonts w:ascii="Times New Roman" w:eastAsia="Times New Roman" w:hAnsi="Times New Roman" w:cs="Times New Roman"/>
        </w:rPr>
        <w:t>In stark contrast to this national and global trajectory, Pennsylvania remains a prominent outlier. By continuously permitting organized live pigeon shoots to take place within its borders, the Commonwealth stands among a rapidly shrinking minority of jurisdictions worldwide. This ongoing legal protection places Pennsylvania at the center of an intense ethical debate, as the activity is increasingly viewed by legal experts, veterinary associations, and the general public as fundamentally inconsistent with modern standards of humane animal treatment and responsible wildlife management.</w:t>
      </w:r>
    </w:p>
    <w:p w14:paraId="0000003B"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IV. PROPOSED REGULATORY LANGUAGE</w:t>
      </w:r>
    </w:p>
    <w:p w14:paraId="0000003C"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Petitioners respectfully request that the Commission adopt regulations substantially as follows:</w:t>
      </w:r>
    </w:p>
    <w:p w14:paraId="0000003D" w14:textId="77777777" w:rsidR="000342B1" w:rsidRDefault="00000000">
      <w:pPr>
        <w:pBdr>
          <w:top w:val="nil"/>
          <w:left w:val="nil"/>
          <w:bottom w:val="nil"/>
          <w:right w:val="nil"/>
          <w:between w:val="nil"/>
        </w:pBdr>
        <w:spacing w:before="100" w:after="100"/>
        <w:ind w:left="480" w:right="480"/>
        <w:rPr>
          <w:rFonts w:ascii="Times New Roman" w:eastAsia="Times New Roman" w:hAnsi="Times New Roman" w:cs="Times New Roman"/>
          <w:color w:val="000000"/>
        </w:rPr>
      </w:pPr>
      <w:r>
        <w:rPr>
          <w:rFonts w:ascii="Times New Roman" w:eastAsia="Times New Roman" w:hAnsi="Times New Roman" w:cs="Times New Roman"/>
          <w:color w:val="000000"/>
        </w:rPr>
        <w:t>No person shall conduct, sponsor, organize, participate in, or knowingly permit the use of any live bird as a target in any organized shooting contest, competition, exhibition, tournament, or recreational shooting event.</w:t>
      </w:r>
    </w:p>
    <w:p w14:paraId="0000003E" w14:textId="77777777" w:rsidR="000342B1" w:rsidRDefault="00000000">
      <w:pPr>
        <w:pBdr>
          <w:top w:val="nil"/>
          <w:left w:val="nil"/>
          <w:bottom w:val="nil"/>
          <w:right w:val="nil"/>
          <w:between w:val="nil"/>
        </w:pBdr>
        <w:spacing w:before="100" w:after="100"/>
        <w:ind w:left="480" w:right="480"/>
        <w:rPr>
          <w:rFonts w:ascii="Times New Roman" w:eastAsia="Times New Roman" w:hAnsi="Times New Roman" w:cs="Times New Roman"/>
          <w:color w:val="000000"/>
        </w:rPr>
      </w:pPr>
      <w:r>
        <w:rPr>
          <w:rFonts w:ascii="Times New Roman" w:eastAsia="Times New Roman" w:hAnsi="Times New Roman" w:cs="Times New Roman"/>
          <w:color w:val="000000"/>
        </w:rPr>
        <w:t>This prohibition shall not apply to lawful hunting conducted in accordance with Pennsylvania Consolidated Statutes, the Pennsylvania Game and Wildlife Code, or regulations promulgated thereunder.</w:t>
      </w:r>
    </w:p>
    <w:p w14:paraId="0000003F"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 BENEFITS OF THE PROPOSED RULE</w:t>
      </w:r>
    </w:p>
    <w:p w14:paraId="00000040"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Adoption of the proposed regulation would:</w:t>
      </w:r>
    </w:p>
    <w:p w14:paraId="00000041"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eliminate unnecessary animal suffering;</w:t>
      </w:r>
    </w:p>
    <w:p w14:paraId="00000042"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promote ethical wildlife stewardship;</w:t>
      </w:r>
    </w:p>
    <w:p w14:paraId="00000043"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reduce environmental contamination from concentrated lead shot;</w:t>
      </w:r>
    </w:p>
    <w:p w14:paraId="00000044"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protect wildlife from lead poisoning;</w:t>
      </w:r>
    </w:p>
    <w:p w14:paraId="00000045"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reduce public health and sanitation concerns;</w:t>
      </w:r>
    </w:p>
    <w:p w14:paraId="00000046"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improve public safety;</w:t>
      </w:r>
    </w:p>
    <w:p w14:paraId="00000047"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align Pennsylvania with modern wildlife management principles; and</w:t>
      </w:r>
    </w:p>
    <w:p w14:paraId="00000048" w14:textId="77777777" w:rsidR="000342B1" w:rsidRDefault="00000000">
      <w:pPr>
        <w:numPr>
          <w:ilvl w:val="0"/>
          <w:numId w:val="3"/>
        </w:numPr>
        <w:pBdr>
          <w:top w:val="nil"/>
          <w:left w:val="nil"/>
          <w:bottom w:val="nil"/>
          <w:right w:val="nil"/>
          <w:between w:val="nil"/>
        </w:pBdr>
        <w:spacing w:before="36" w:after="36"/>
        <w:rPr>
          <w:rFonts w:ascii="Times New Roman" w:eastAsia="Times New Roman" w:hAnsi="Times New Roman" w:cs="Times New Roman"/>
          <w:color w:val="000000"/>
        </w:rPr>
      </w:pPr>
      <w:r>
        <w:rPr>
          <w:rFonts w:ascii="Times New Roman" w:eastAsia="Times New Roman" w:hAnsi="Times New Roman" w:cs="Times New Roman"/>
          <w:color w:val="000000"/>
        </w:rPr>
        <w:t>preserve competitive shooting through readily available clay targets and other humane alternatives.</w:t>
      </w:r>
    </w:p>
    <w:p w14:paraId="00000049" w14:textId="77777777" w:rsidR="000342B1" w:rsidRDefault="00000000">
      <w:pPr>
        <w:pStyle w:val="Head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VI. CONCLUSION</w:t>
      </w:r>
    </w:p>
    <w:p w14:paraId="0000004A"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Pigeon shoots represent an outdated practice that no longer serves any legitimate conservation, wildlife management, or recreational purpose.</w:t>
      </w:r>
    </w:p>
    <w:p w14:paraId="0000004B"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The availability of humane alternatives, together with the significant concerns regarding animal welfare, environmental contamination, public health, public safety, and the Commonwealth’s interest in promoting ethical wildlife stewardship, provide compelling reasons for regulatory action.</w:t>
      </w:r>
    </w:p>
    <w:p w14:paraId="0000004C" w14:textId="77777777" w:rsidR="000342B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For these reasons, Petitioners respectfully request that the Pennsylvania Game Commission commence rulemaking to prohibit the use of live pigeons and other live birds in organized shooting contests throughout the Commonwealth.</w:t>
      </w:r>
    </w:p>
    <w:p w14:paraId="7B15A2DA" w14:textId="7C0909C4" w:rsidR="00B73491" w:rsidRDefault="00000000">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Respectfully submitted,</w:t>
      </w:r>
    </w:p>
    <w:p w14:paraId="56A336DB" w14:textId="5838D197" w:rsidR="00B73491" w:rsidRPr="00B73491" w:rsidRDefault="00B73491" w:rsidP="00B73491">
      <w:pPr>
        <w:pStyle w:val="NoSpacing"/>
        <w:rPr>
          <w:rFonts w:ascii="Times New Roman" w:hAnsi="Times New Roman" w:cs="Times New Roman"/>
        </w:rPr>
      </w:pPr>
      <w:r w:rsidRPr="00B73491">
        <w:rPr>
          <w:rFonts w:ascii="Times New Roman" w:hAnsi="Times New Roman" w:cs="Times New Roman"/>
        </w:rPr>
        <w:t>Natalie Ahwesh</w:t>
      </w:r>
    </w:p>
    <w:p w14:paraId="523F5E39" w14:textId="6B6A6B19" w:rsidR="00B73491" w:rsidRDefault="00B73491" w:rsidP="00B73491">
      <w:pPr>
        <w:pStyle w:val="NoSpacing"/>
        <w:rPr>
          <w:rFonts w:ascii="Times New Roman" w:hAnsi="Times New Roman" w:cs="Times New Roman"/>
        </w:rPr>
      </w:pPr>
      <w:r w:rsidRPr="00B73491">
        <w:rPr>
          <w:rFonts w:ascii="Times New Roman" w:hAnsi="Times New Roman" w:cs="Times New Roman"/>
        </w:rPr>
        <w:t xml:space="preserve">Director </w:t>
      </w:r>
      <w:r>
        <w:rPr>
          <w:rFonts w:ascii="Times New Roman" w:hAnsi="Times New Roman" w:cs="Times New Roman"/>
        </w:rPr>
        <w:t>of</w:t>
      </w:r>
      <w:r w:rsidRPr="00B73491">
        <w:rPr>
          <w:rFonts w:ascii="Times New Roman" w:hAnsi="Times New Roman" w:cs="Times New Roman"/>
        </w:rPr>
        <w:t xml:space="preserve"> State A</w:t>
      </w:r>
      <w:r>
        <w:rPr>
          <w:rFonts w:ascii="Times New Roman" w:hAnsi="Times New Roman" w:cs="Times New Roman"/>
        </w:rPr>
        <w:t>f</w:t>
      </w:r>
      <w:r w:rsidRPr="00B73491">
        <w:rPr>
          <w:rFonts w:ascii="Times New Roman" w:hAnsi="Times New Roman" w:cs="Times New Roman"/>
        </w:rPr>
        <w:t>fairs</w:t>
      </w:r>
    </w:p>
    <w:p w14:paraId="24A1DB7B" w14:textId="665647D8" w:rsidR="00B73491" w:rsidRDefault="00B73491" w:rsidP="00B73491">
      <w:pPr>
        <w:pStyle w:val="NoSpacing"/>
        <w:rPr>
          <w:rFonts w:ascii="Times New Roman" w:hAnsi="Times New Roman" w:cs="Times New Roman"/>
        </w:rPr>
      </w:pPr>
      <w:r>
        <w:rPr>
          <w:rFonts w:ascii="Times New Roman" w:hAnsi="Times New Roman" w:cs="Times New Roman"/>
        </w:rPr>
        <w:t>Center for a Humane Economy</w:t>
      </w:r>
    </w:p>
    <w:p w14:paraId="0CD831E1" w14:textId="553286C8" w:rsidR="00B73491" w:rsidRDefault="00B73491" w:rsidP="00B73491">
      <w:pPr>
        <w:pStyle w:val="NoSpacing"/>
        <w:rPr>
          <w:rFonts w:ascii="Times New Roman" w:hAnsi="Times New Roman" w:cs="Times New Roman"/>
        </w:rPr>
      </w:pPr>
      <w:hyperlink r:id="rId9" w:history="1">
        <w:r w:rsidRPr="008D08B7">
          <w:rPr>
            <w:rStyle w:val="Hyperlink"/>
            <w:rFonts w:ascii="Times New Roman" w:hAnsi="Times New Roman" w:cs="Times New Roman"/>
          </w:rPr>
          <w:t>nahwesh@animalwellnessaction.org</w:t>
        </w:r>
      </w:hyperlink>
    </w:p>
    <w:p w14:paraId="257A8098" w14:textId="58266D5E" w:rsidR="00B73491" w:rsidRPr="00B73491" w:rsidRDefault="00B73491" w:rsidP="00B73491">
      <w:pPr>
        <w:pStyle w:val="NoSpacing"/>
        <w:rPr>
          <w:rFonts w:ascii="Times New Roman" w:hAnsi="Times New Roman" w:cs="Times New Roman"/>
        </w:rPr>
      </w:pPr>
      <w:r>
        <w:rPr>
          <w:rFonts w:ascii="Times New Roman" w:hAnsi="Times New Roman" w:cs="Times New Roman"/>
        </w:rPr>
        <w:t>(740)317-1327</w:t>
      </w:r>
    </w:p>
    <w:p w14:paraId="1E50113A" w14:textId="2B6FB355" w:rsidR="00B73491" w:rsidRDefault="00B73491">
      <w:pPr>
        <w:pBdr>
          <w:top w:val="nil"/>
          <w:left w:val="nil"/>
          <w:bottom w:val="nil"/>
          <w:right w:val="nil"/>
          <w:between w:val="nil"/>
        </w:pBdr>
        <w:spacing w:before="180" w:after="180"/>
        <w:rPr>
          <w:rFonts w:ascii="Times New Roman" w:eastAsia="Times New Roman" w:hAnsi="Times New Roman" w:cs="Times New Roman"/>
          <w:color w:val="000000"/>
        </w:rPr>
      </w:pPr>
      <w:r>
        <w:rPr>
          <w:rFonts w:ascii="Times New Roman" w:eastAsia="Times New Roman" w:hAnsi="Times New Roman" w:cs="Times New Roman"/>
          <w:color w:val="000000"/>
        </w:rPr>
        <w:t>On behalf of:</w:t>
      </w:r>
    </w:p>
    <w:p w14:paraId="0000004E" w14:textId="77777777" w:rsidR="000342B1" w:rsidRDefault="00000000">
      <w:pPr>
        <w:numPr>
          <w:ilvl w:val="0"/>
          <w:numId w:val="1"/>
        </w:numPr>
        <w:pBdr>
          <w:top w:val="nil"/>
          <w:left w:val="nil"/>
          <w:bottom w:val="nil"/>
          <w:right w:val="nil"/>
          <w:between w:val="nil"/>
        </w:pBdr>
        <w:spacing w:before="180" w:after="0"/>
        <w:rPr>
          <w:rFonts w:ascii="Times New Roman" w:eastAsia="Times New Roman" w:hAnsi="Times New Roman" w:cs="Times New Roman"/>
          <w:b/>
          <w:bCs/>
        </w:rPr>
      </w:pPr>
      <w:r>
        <w:rPr>
          <w:rFonts w:ascii="Times New Roman" w:eastAsia="Times New Roman" w:hAnsi="Times New Roman" w:cs="Times New Roman"/>
          <w:b/>
          <w:bCs/>
        </w:rPr>
        <w:t>Almost Home Dog Rescue (Hatfield)</w:t>
      </w:r>
    </w:p>
    <w:p w14:paraId="0000004F"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Animal Alliance Network (national)</w:t>
      </w:r>
    </w:p>
    <w:p w14:paraId="00000050"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Animal Lifeline Pittsburgh</w:t>
      </w:r>
    </w:p>
    <w:p w14:paraId="00000051"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t>Animal Wellness Action (national)</w:t>
      </w:r>
    </w:p>
    <w:p w14:paraId="00000052"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Carbon County Friends of Animals (Jim Thorpe)</w:t>
      </w:r>
    </w:p>
    <w:p w14:paraId="00000053"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Christian Animal Rights Association (national)</w:t>
      </w:r>
    </w:p>
    <w:p w14:paraId="00000054"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Finding Shelter Animal Rescue (Norristown)</w:t>
      </w:r>
    </w:p>
    <w:p w14:paraId="00000055"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Gray Paws Sanctuary (White Oak)</w:t>
      </w:r>
    </w:p>
    <w:p w14:paraId="00000056"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Hope Haven Farm Sanctuary (Sewickley)</w:t>
      </w:r>
    </w:p>
    <w:p w14:paraId="00000057"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Humane Action Pennsylvania</w:t>
      </w:r>
    </w:p>
    <w:p w14:paraId="00000058"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proofErr w:type="spellStart"/>
      <w:r>
        <w:rPr>
          <w:rFonts w:ascii="Times New Roman" w:eastAsia="Times New Roman" w:hAnsi="Times New Roman" w:cs="Times New Roman"/>
          <w:b/>
          <w:bCs/>
        </w:rPr>
        <w:t>Indraloka</w:t>
      </w:r>
      <w:proofErr w:type="spellEnd"/>
      <w:r>
        <w:rPr>
          <w:rFonts w:ascii="Times New Roman" w:eastAsia="Times New Roman" w:hAnsi="Times New Roman" w:cs="Times New Roman"/>
          <w:b/>
          <w:bCs/>
        </w:rPr>
        <w:t xml:space="preserve"> Animal Sanctuary (Dalton)</w:t>
      </w:r>
    </w:p>
    <w:p w14:paraId="00000059"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Lancaster Farm Sanctuary </w:t>
      </w:r>
    </w:p>
    <w:p w14:paraId="0000005A"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Laura’s Hope Rescue (Hop Bottom)</w:t>
      </w:r>
    </w:p>
    <w:p w14:paraId="0000005B"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Living Plant-Based Life Fellowship (Easton)</w:t>
      </w:r>
    </w:p>
    <w:p w14:paraId="0000005C"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lastRenderedPageBreak/>
        <w:t>Lycoming Audubon Society (Williamsport)</w:t>
      </w:r>
    </w:p>
    <w:p w14:paraId="0000005D"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Misfits Coven Animal Sanctuary (Prosperity)</w:t>
      </w:r>
    </w:p>
    <w:p w14:paraId="0000005E"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(PAWS) Philadelphia Animal Welfare Society </w:t>
      </w:r>
    </w:p>
    <w:p w14:paraId="0000005F"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Pennsylvania Voters for Animals</w:t>
      </w:r>
    </w:p>
    <w:p w14:paraId="00000060"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proofErr w:type="spellStart"/>
      <w:r>
        <w:rPr>
          <w:rFonts w:ascii="Times New Roman" w:eastAsia="Times New Roman" w:hAnsi="Times New Roman" w:cs="Times New Roman"/>
          <w:b/>
          <w:bCs/>
        </w:rPr>
        <w:t>Pigsburgh</w:t>
      </w:r>
      <w:proofErr w:type="spellEnd"/>
      <w:r>
        <w:rPr>
          <w:rFonts w:ascii="Times New Roman" w:eastAsia="Times New Roman" w:hAnsi="Times New Roman" w:cs="Times New Roman"/>
          <w:b/>
          <w:bCs/>
        </w:rPr>
        <w:t xml:space="preserve"> Squealers Rescue (Tarentum)</w:t>
      </w:r>
    </w:p>
    <w:p w14:paraId="00000061"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Presque Isle Audubon Society (Erie)</w:t>
      </w:r>
    </w:p>
    <w:p w14:paraId="00000062"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R.A.C.E. Fund (Harrisburg)</w:t>
      </w:r>
    </w:p>
    <w:p w14:paraId="00000063"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Revolution Philadelphia</w:t>
      </w:r>
    </w:p>
    <w:p w14:paraId="00000064" w14:textId="77777777" w:rsidR="000342B1" w:rsidRDefault="00000000">
      <w:pPr>
        <w:numPr>
          <w:ilvl w:val="0"/>
          <w:numId w:val="1"/>
        </w:numPr>
        <w:pBdr>
          <w:top w:val="nil"/>
          <w:left w:val="nil"/>
          <w:bottom w:val="nil"/>
          <w:right w:val="nil"/>
          <w:between w:val="nil"/>
        </w:pBdr>
        <w:spacing w:after="0"/>
        <w:rPr>
          <w:b/>
          <w:bCs/>
        </w:rPr>
      </w:pPr>
      <w:r>
        <w:rPr>
          <w:rFonts w:ascii="Arial" w:eastAsia="Arial" w:hAnsi="Arial" w:cs="Arial"/>
          <w:b/>
          <w:bCs/>
        </w:rPr>
        <w:t>SHARK (Showing Animals Respect and Kindness)</w:t>
      </w:r>
      <w:r>
        <w:rPr>
          <w:rFonts w:ascii="Times New Roman" w:eastAsia="Times New Roman" w:hAnsi="Times New Roman" w:cs="Times New Roman"/>
          <w:b/>
          <w:bCs/>
        </w:rPr>
        <w:t xml:space="preserve"> </w:t>
      </w:r>
    </w:p>
    <w:p w14:paraId="00000065"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Joe </w:t>
      </w:r>
      <w:proofErr w:type="spellStart"/>
      <w:r>
        <w:rPr>
          <w:rFonts w:ascii="Times New Roman" w:eastAsia="Times New Roman" w:hAnsi="Times New Roman" w:cs="Times New Roman"/>
          <w:b/>
          <w:bCs/>
        </w:rPr>
        <w:t>Ciresi</w:t>
      </w:r>
      <w:proofErr w:type="spellEnd"/>
      <w:r>
        <w:rPr>
          <w:rFonts w:ascii="Times New Roman" w:eastAsia="Times New Roman" w:hAnsi="Times New Roman" w:cs="Times New Roman"/>
          <w:b/>
          <w:bCs/>
        </w:rPr>
        <w:t xml:space="preserve"> (146th Legislative District)</w:t>
      </w:r>
    </w:p>
    <w:p w14:paraId="00000066"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Dan </w:t>
      </w:r>
      <w:proofErr w:type="spellStart"/>
      <w:r>
        <w:rPr>
          <w:rFonts w:ascii="Times New Roman" w:eastAsia="Times New Roman" w:hAnsi="Times New Roman" w:cs="Times New Roman"/>
          <w:b/>
          <w:bCs/>
        </w:rPr>
        <w:t>Deasy</w:t>
      </w:r>
      <w:proofErr w:type="spellEnd"/>
      <w:r>
        <w:rPr>
          <w:rFonts w:ascii="Times New Roman" w:eastAsia="Times New Roman" w:hAnsi="Times New Roman" w:cs="Times New Roman"/>
          <w:b/>
          <w:bCs/>
        </w:rPr>
        <w:t xml:space="preserve"> (27th Legislative District)</w:t>
      </w:r>
    </w:p>
    <w:p w14:paraId="00000067"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Sean Dougherty (172nd Legislative District)</w:t>
      </w:r>
    </w:p>
    <w:p w14:paraId="00000068"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Elizabeth Fiedler (184th Legislative District)</w:t>
      </w:r>
    </w:p>
    <w:p w14:paraId="00000069"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Dan Frankel (23rd Legislative District)</w:t>
      </w:r>
    </w:p>
    <w:p w14:paraId="0000006A"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Paul Friel (26th Legislative District)</w:t>
      </w:r>
    </w:p>
    <w:p w14:paraId="0000006B"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Nancy </w:t>
      </w:r>
      <w:proofErr w:type="spellStart"/>
      <w:r>
        <w:rPr>
          <w:rFonts w:ascii="Times New Roman" w:eastAsia="Times New Roman" w:hAnsi="Times New Roman" w:cs="Times New Roman"/>
          <w:b/>
          <w:bCs/>
        </w:rPr>
        <w:t>Guenst</w:t>
      </w:r>
      <w:proofErr w:type="spellEnd"/>
      <w:r>
        <w:rPr>
          <w:rFonts w:ascii="Times New Roman" w:eastAsia="Times New Roman" w:hAnsi="Times New Roman" w:cs="Times New Roman"/>
          <w:b/>
          <w:bCs/>
        </w:rPr>
        <w:t xml:space="preserve"> (152nd Legislative District)</w:t>
      </w:r>
    </w:p>
    <w:p w14:paraId="0000006C"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Carol Hill-Evans (95th Legislative District)</w:t>
      </w:r>
    </w:p>
    <w:p w14:paraId="0000006D"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Joe Hohenstein (177th Legislative District)</w:t>
      </w:r>
    </w:p>
    <w:p w14:paraId="0000006E"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Kristine Howard (167th Legislative District)</w:t>
      </w:r>
    </w:p>
    <w:p w14:paraId="0000006F"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Mary Isaacson (175th Legislative District)</w:t>
      </w:r>
    </w:p>
    <w:p w14:paraId="00000070"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Mike Jones (93rd Legislative District)</w:t>
      </w:r>
    </w:p>
    <w:p w14:paraId="00000071"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Steve </w:t>
      </w:r>
      <w:proofErr w:type="spellStart"/>
      <w:r>
        <w:rPr>
          <w:rFonts w:ascii="Times New Roman" w:eastAsia="Times New Roman" w:hAnsi="Times New Roman" w:cs="Times New Roman"/>
          <w:b/>
          <w:bCs/>
        </w:rPr>
        <w:t>Malagari</w:t>
      </w:r>
      <w:proofErr w:type="spellEnd"/>
      <w:r>
        <w:rPr>
          <w:rFonts w:ascii="Times New Roman" w:eastAsia="Times New Roman" w:hAnsi="Times New Roman" w:cs="Times New Roman"/>
          <w:b/>
          <w:bCs/>
        </w:rPr>
        <w:t xml:space="preserve"> (53rd Legislative District)</w:t>
      </w:r>
    </w:p>
    <w:p w14:paraId="00000072"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Brandon </w:t>
      </w:r>
      <w:proofErr w:type="spellStart"/>
      <w:r>
        <w:rPr>
          <w:rFonts w:ascii="Times New Roman" w:eastAsia="Times New Roman" w:hAnsi="Times New Roman" w:cs="Times New Roman"/>
          <w:b/>
          <w:bCs/>
        </w:rPr>
        <w:t>Markosek</w:t>
      </w:r>
      <w:proofErr w:type="spellEnd"/>
      <w:r>
        <w:rPr>
          <w:rFonts w:ascii="Times New Roman" w:eastAsia="Times New Roman" w:hAnsi="Times New Roman" w:cs="Times New Roman"/>
          <w:b/>
          <w:bCs/>
        </w:rPr>
        <w:t xml:space="preserve"> (25th Legislative District)</w:t>
      </w:r>
    </w:p>
    <w:p w14:paraId="00000073"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w:t>
      </w:r>
      <w:proofErr w:type="spellStart"/>
      <w:r>
        <w:rPr>
          <w:rFonts w:ascii="Times New Roman" w:eastAsia="Times New Roman" w:hAnsi="Times New Roman" w:cs="Times New Roman"/>
          <w:b/>
          <w:bCs/>
        </w:rPr>
        <w:t>La’Tasha</w:t>
      </w:r>
      <w:proofErr w:type="spellEnd"/>
      <w:r>
        <w:rPr>
          <w:rFonts w:ascii="Times New Roman" w:eastAsia="Times New Roman" w:hAnsi="Times New Roman" w:cs="Times New Roman"/>
          <w:b/>
          <w:bCs/>
        </w:rPr>
        <w:t xml:space="preserve"> Mayes (24th Legislative District)</w:t>
      </w:r>
    </w:p>
    <w:p w14:paraId="00000074"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Jeanne McNeill (133rd Legislative District)</w:t>
      </w:r>
    </w:p>
    <w:p w14:paraId="00000075"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Lindsay Powell (21st Legislative District)</w:t>
      </w:r>
    </w:p>
    <w:p w14:paraId="00000076"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Nikki Rivera (96th Legislative District)</w:t>
      </w:r>
    </w:p>
    <w:p w14:paraId="00000077"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Abigail Salisbury (34th Legislative District)</w:t>
      </w:r>
    </w:p>
    <w:p w14:paraId="00000078"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Christina </w:t>
      </w:r>
      <w:proofErr w:type="spellStart"/>
      <w:r>
        <w:rPr>
          <w:rFonts w:ascii="Times New Roman" w:eastAsia="Times New Roman" w:hAnsi="Times New Roman" w:cs="Times New Roman"/>
          <w:b/>
          <w:bCs/>
        </w:rPr>
        <w:t>Sappey</w:t>
      </w:r>
      <w:proofErr w:type="spellEnd"/>
      <w:r>
        <w:rPr>
          <w:rFonts w:ascii="Times New Roman" w:eastAsia="Times New Roman" w:hAnsi="Times New Roman" w:cs="Times New Roman"/>
          <w:b/>
          <w:bCs/>
        </w:rPr>
        <w:t xml:space="preserve"> (158th Legislative District)</w:t>
      </w:r>
    </w:p>
    <w:p w14:paraId="00000079"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Representative Peter </w:t>
      </w:r>
      <w:proofErr w:type="spellStart"/>
      <w:r>
        <w:rPr>
          <w:rFonts w:ascii="Times New Roman" w:eastAsia="Times New Roman" w:hAnsi="Times New Roman" w:cs="Times New Roman"/>
          <w:b/>
          <w:bCs/>
        </w:rPr>
        <w:t>Schweyer</w:t>
      </w:r>
      <w:proofErr w:type="spellEnd"/>
      <w:r>
        <w:rPr>
          <w:rFonts w:ascii="Times New Roman" w:eastAsia="Times New Roman" w:hAnsi="Times New Roman" w:cs="Times New Roman"/>
          <w:b/>
          <w:bCs/>
        </w:rPr>
        <w:t xml:space="preserve"> (134th Legislative District)</w:t>
      </w:r>
    </w:p>
    <w:p w14:paraId="0000007A"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Melissa Shusterman (157th Legislative District)</w:t>
      </w:r>
    </w:p>
    <w:p w14:paraId="0000007B"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Arvind Venkat (30th Legislative District)</w:t>
      </w:r>
    </w:p>
    <w:p w14:paraId="0000007C"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Representative Greg Vitali (166th Legislative District)</w:t>
      </w:r>
    </w:p>
    <w:p w14:paraId="0000007D"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Senator Lisa </w:t>
      </w:r>
      <w:proofErr w:type="spellStart"/>
      <w:r>
        <w:rPr>
          <w:rFonts w:ascii="Times New Roman" w:eastAsia="Times New Roman" w:hAnsi="Times New Roman" w:cs="Times New Roman"/>
          <w:b/>
          <w:bCs/>
        </w:rPr>
        <w:t>Boscola</w:t>
      </w:r>
      <w:proofErr w:type="spellEnd"/>
      <w:r>
        <w:rPr>
          <w:rFonts w:ascii="Times New Roman" w:eastAsia="Times New Roman" w:hAnsi="Times New Roman" w:cs="Times New Roman"/>
          <w:b/>
          <w:bCs/>
        </w:rPr>
        <w:t xml:space="preserve"> (18th Senatorial District)</w:t>
      </w:r>
    </w:p>
    <w:p w14:paraId="0000007E"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Senator Carolyn </w:t>
      </w:r>
      <w:proofErr w:type="spellStart"/>
      <w:r>
        <w:rPr>
          <w:rFonts w:ascii="Times New Roman" w:eastAsia="Times New Roman" w:hAnsi="Times New Roman" w:cs="Times New Roman"/>
          <w:b/>
          <w:bCs/>
        </w:rPr>
        <w:t>Comitta</w:t>
      </w:r>
      <w:proofErr w:type="spellEnd"/>
      <w:r>
        <w:rPr>
          <w:rFonts w:ascii="Times New Roman" w:eastAsia="Times New Roman" w:hAnsi="Times New Roman" w:cs="Times New Roman"/>
          <w:b/>
          <w:bCs/>
        </w:rPr>
        <w:t xml:space="preserve"> (19th Senatorial District)</w:t>
      </w:r>
    </w:p>
    <w:p w14:paraId="0000007F"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Senator Nick </w:t>
      </w:r>
      <w:proofErr w:type="spellStart"/>
      <w:r>
        <w:rPr>
          <w:rFonts w:ascii="Times New Roman" w:eastAsia="Times New Roman" w:hAnsi="Times New Roman" w:cs="Times New Roman"/>
          <w:b/>
          <w:bCs/>
        </w:rPr>
        <w:t>Pisciottano</w:t>
      </w:r>
      <w:proofErr w:type="spellEnd"/>
      <w:r>
        <w:rPr>
          <w:rFonts w:ascii="Times New Roman" w:eastAsia="Times New Roman" w:hAnsi="Times New Roman" w:cs="Times New Roman"/>
          <w:b/>
          <w:bCs/>
        </w:rPr>
        <w:t xml:space="preserve"> (45th Senatorial District)</w:t>
      </w:r>
    </w:p>
    <w:p w14:paraId="00000080"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 xml:space="preserve">State Senator </w:t>
      </w:r>
      <w:proofErr w:type="spellStart"/>
      <w:r>
        <w:rPr>
          <w:rFonts w:ascii="Times New Roman" w:eastAsia="Times New Roman" w:hAnsi="Times New Roman" w:cs="Times New Roman"/>
          <w:b/>
          <w:bCs/>
        </w:rPr>
        <w:t>Nikil</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Saval</w:t>
      </w:r>
      <w:proofErr w:type="spellEnd"/>
      <w:r>
        <w:rPr>
          <w:rFonts w:ascii="Times New Roman" w:eastAsia="Times New Roman" w:hAnsi="Times New Roman" w:cs="Times New Roman"/>
          <w:b/>
          <w:bCs/>
        </w:rPr>
        <w:t xml:space="preserve"> (1st Senatorial District)</w:t>
      </w:r>
    </w:p>
    <w:p w14:paraId="00000081"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State Senator Lindsey Williams (38th Senatorial District)</w:t>
      </w:r>
    </w:p>
    <w:p w14:paraId="00000082"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t>The Center for a Humane Economy (national)</w:t>
      </w:r>
    </w:p>
    <w:p w14:paraId="00000083"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The Crossings Animal Society (Washington Crossing)</w:t>
      </w:r>
    </w:p>
    <w:p w14:paraId="00000084"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The Humane Party (Columbia)</w:t>
      </w:r>
    </w:p>
    <w:p w14:paraId="00000085"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The STAR Project (Kunkletown)</w:t>
      </w:r>
    </w:p>
    <w:p w14:paraId="00000086" w14:textId="77777777" w:rsidR="000342B1" w:rsidRDefault="00000000">
      <w:pPr>
        <w:numPr>
          <w:ilvl w:val="0"/>
          <w:numId w:val="1"/>
        </w:num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Voters for Animal Rights (Brooklyn, NY)</w:t>
      </w:r>
    </w:p>
    <w:p w14:paraId="00000087" w14:textId="77777777" w:rsidR="000342B1" w:rsidRDefault="00000000">
      <w:pPr>
        <w:numPr>
          <w:ilvl w:val="0"/>
          <w:numId w:val="1"/>
        </w:numPr>
        <w:pBdr>
          <w:top w:val="nil"/>
          <w:left w:val="nil"/>
          <w:bottom w:val="nil"/>
          <w:right w:val="nil"/>
          <w:between w:val="nil"/>
        </w:pBdr>
        <w:spacing w:after="180"/>
        <w:rPr>
          <w:rFonts w:ascii="Times New Roman" w:eastAsia="Times New Roman" w:hAnsi="Times New Roman" w:cs="Times New Roman"/>
          <w:b/>
          <w:bCs/>
        </w:rPr>
      </w:pPr>
      <w:proofErr w:type="spellStart"/>
      <w:r>
        <w:rPr>
          <w:rFonts w:ascii="Times New Roman" w:eastAsia="Times New Roman" w:hAnsi="Times New Roman" w:cs="Times New Roman"/>
          <w:b/>
          <w:bCs/>
        </w:rPr>
        <w:t>Wildbird</w:t>
      </w:r>
      <w:proofErr w:type="spellEnd"/>
      <w:r>
        <w:rPr>
          <w:rFonts w:ascii="Times New Roman" w:eastAsia="Times New Roman" w:hAnsi="Times New Roman" w:cs="Times New Roman"/>
          <w:b/>
          <w:bCs/>
        </w:rPr>
        <w:t xml:space="preserve"> Recovery (Valencia)</w:t>
      </w:r>
    </w:p>
    <w:sectPr w:rsidR="000342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embedRegular r:id="rId1" w:fontKey="{7C13719D-96B1-2C40-B357-B7ED663F8BC1}"/>
  </w:font>
  <w:font w:name="Courier New">
    <w:panose1 w:val="02070309020205020404"/>
    <w:charset w:val="00"/>
    <w:family w:val="modern"/>
    <w:pitch w:val="fixed"/>
    <w:sig w:usb0="E0002AFF" w:usb1="C0007843" w:usb2="00000009" w:usb3="00000000" w:csb0="000001FF" w:csb1="00000000"/>
    <w:embedRegular r:id="rId2" w:fontKey="{96C9B168-EB2E-3E42-A49C-69876CD39B74}"/>
  </w:font>
  <w:font w:name="Times New Roman">
    <w:panose1 w:val="02020603050405020304"/>
    <w:charset w:val="00"/>
    <w:family w:val="roman"/>
    <w:pitch w:val="variable"/>
    <w:sig w:usb0="E0002EFF" w:usb1="C000785B" w:usb2="00000009" w:usb3="00000000" w:csb0="000001FF" w:csb1="00000000"/>
    <w:embedRegular r:id="rId3" w:fontKey="{2FD81918-CAA7-F545-8D14-A32E21427F99}"/>
    <w:embedBold r:id="rId4" w:fontKey="{38B4A9DE-FD76-6442-B0CE-7A554BAEAC73}"/>
    <w:embedItalic r:id="rId5" w:fontKey="{7C2DF601-F78E-7E48-936E-1A62AD34B511}"/>
  </w:font>
  <w:font w:name="Aptos">
    <w:panose1 w:val="020B0604020202020204"/>
    <w:charset w:val="00"/>
    <w:family w:val="swiss"/>
    <w:pitch w:val="variable"/>
    <w:sig w:usb0="20000287" w:usb1="00000003" w:usb2="00000000" w:usb3="00000000" w:csb0="0000019F" w:csb1="00000000"/>
    <w:embedRegular r:id="rId6" w:fontKey="{33951ECA-6539-2B40-BD71-4C6E8230B20B}"/>
    <w:embedBold r:id="rId7" w:fontKey="{E2D7A469-3AEA-5549-8BFE-DAE625F0B006}"/>
    <w:embedItalic r:id="rId8" w:fontKey="{8378B0FB-15C9-174D-98B6-0CDA7CC27A6C}"/>
  </w:font>
  <w:font w:name="Play">
    <w:charset w:val="00"/>
    <w:family w:val="auto"/>
    <w:pitch w:val="default"/>
    <w:embedRegular r:id="rId9" w:fontKey="{24D4B595-6629-DE48-9793-04ED2DB974BF}"/>
  </w:font>
  <w:font w:name="Arial">
    <w:panose1 w:val="020B0604020202020204"/>
    <w:charset w:val="00"/>
    <w:family w:val="swiss"/>
    <w:pitch w:val="variable"/>
    <w:sig w:usb0="E0002AFF" w:usb1="C0007843" w:usb2="00000009" w:usb3="00000000" w:csb0="000001FF" w:csb1="00000000"/>
    <w:embedBold r:id="rId10" w:fontKey="{839FF3B9-F57A-0C4E-BC48-37F6A65CB189}"/>
  </w:font>
  <w:font w:name="Calibri">
    <w:panose1 w:val="020F0502020204030204"/>
    <w:charset w:val="00"/>
    <w:family w:val="swiss"/>
    <w:pitch w:val="variable"/>
    <w:sig w:usb0="E4002EFF" w:usb1="C000247B" w:usb2="00000009" w:usb3="00000000" w:csb0="000001FF" w:csb1="00000000"/>
    <w:embedRegular r:id="rId11" w:fontKey="{0732B379-E81C-5A46-837B-C041FE1B7898}"/>
  </w:font>
  <w:font w:name="Cambria">
    <w:panose1 w:val="02040503050406030204"/>
    <w:charset w:val="00"/>
    <w:family w:val="roman"/>
    <w:pitch w:val="variable"/>
    <w:sig w:usb0="E00002FF" w:usb1="400004FF" w:usb2="00000000" w:usb3="00000000" w:csb0="0000019F" w:csb1="00000000"/>
    <w:embedRegular r:id="rId12" w:fontKey="{5A29949F-C133-1942-801E-6CCA2CFB315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43EC1"/>
    <w:multiLevelType w:val="multilevel"/>
    <w:tmpl w:val="431ABEC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8B6D3B"/>
    <w:multiLevelType w:val="multilevel"/>
    <w:tmpl w:val="94C4C2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37C7C86"/>
    <w:multiLevelType w:val="multilevel"/>
    <w:tmpl w:val="0B1A6998"/>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BA0550"/>
    <w:multiLevelType w:val="multilevel"/>
    <w:tmpl w:val="D76249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74111098">
    <w:abstractNumId w:val="1"/>
  </w:num>
  <w:num w:numId="2" w16cid:durableId="1186864680">
    <w:abstractNumId w:val="2"/>
  </w:num>
  <w:num w:numId="3" w16cid:durableId="2006206287">
    <w:abstractNumId w:val="0"/>
  </w:num>
  <w:num w:numId="4" w16cid:durableId="1070618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B1"/>
    <w:rsid w:val="000342B1"/>
    <w:rsid w:val="003A5288"/>
    <w:rsid w:val="00B73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C8C0E4"/>
  <w15:docId w15:val="{674D43A8-DC69-1541-86AF-98711A481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jc w:val="center"/>
    </w:pPr>
    <w:rPr>
      <w:rFonts w:ascii="Play" w:eastAsia="Play" w:hAnsi="Play" w:cs="Play"/>
      <w:sz w:val="56"/>
      <w:szCs w:val="56"/>
    </w:rPr>
  </w:style>
  <w:style w:type="paragraph" w:styleId="Subtitle">
    <w:name w:val="Subtitle"/>
    <w:basedOn w:val="Normal"/>
    <w:next w:val="Normal"/>
    <w:uiPriority w:val="11"/>
    <w:qFormat/>
    <w:pPr>
      <w:spacing w:after="80"/>
      <w:jc w:val="center"/>
    </w:pPr>
    <w:rPr>
      <w:rFonts w:ascii="Play" w:eastAsia="Play" w:hAnsi="Play" w:cs="Play"/>
      <w:sz w:val="28"/>
      <w:szCs w:val="28"/>
    </w:rPr>
  </w:style>
  <w:style w:type="paragraph" w:styleId="NoSpacing">
    <w:name w:val="No Spacing"/>
    <w:uiPriority w:val="1"/>
    <w:qFormat/>
    <w:rsid w:val="00B73491"/>
    <w:pPr>
      <w:spacing w:after="0"/>
    </w:pPr>
  </w:style>
  <w:style w:type="character" w:styleId="Hyperlink">
    <w:name w:val="Hyperlink"/>
    <w:basedOn w:val="DefaultParagraphFont"/>
    <w:uiPriority w:val="99"/>
    <w:unhideWhenUsed/>
    <w:rsid w:val="00B73491"/>
    <w:rPr>
      <w:color w:val="0000FF" w:themeColor="hyperlink"/>
      <w:u w:val="single"/>
    </w:rPr>
  </w:style>
  <w:style w:type="character" w:styleId="UnresolvedMention">
    <w:name w:val="Unresolved Mention"/>
    <w:basedOn w:val="DefaultParagraphFont"/>
    <w:uiPriority w:val="99"/>
    <w:semiHidden/>
    <w:unhideWhenUsed/>
    <w:rsid w:val="00B73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pa.gov/agencies/pgc" TargetMode="External"/><Relationship Id="rId3" Type="http://schemas.openxmlformats.org/officeDocument/2006/relationships/styles" Target="styles.xml"/><Relationship Id="rId7" Type="http://schemas.openxmlformats.org/officeDocument/2006/relationships/hyperlink" Target="https://www.pa.gov/agencies/pgc/huntingandtrapping/regulations/seasons-and-bag-limi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a.gov/agencies/pgc/wildlif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hwesh@animalwellnessaction.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bb7ZZBvzjURQIvXmueyLr7n3qw==">CgMxLjA4AHIhMXQxQmVwd1hZZl9OSEotdFlzdTJsX2lPZF9IQVotY3Vw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2906</Words>
  <Characters>16565</Characters>
  <Application>Microsoft Office Word</Application>
  <DocSecurity>0</DocSecurity>
  <Lines>138</Lines>
  <Paragraphs>38</Paragraphs>
  <ScaleCrop>false</ScaleCrop>
  <Company/>
  <LinksUpToDate>false</LinksUpToDate>
  <CharactersWithSpaces>19433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Edwards</cp:lastModifiedBy>
  <cp:revision>3</cp:revision>
  <dcterms:created xsi:type="dcterms:W3CDTF">2026-10-21T15:38:00Z</dcterms:created>
  <dcterms:modified xsi:type="dcterms:W3CDTF">2026-10-21T16:00:00Z</dcterms:modified>
</cp:coreProperties>
</file>